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70" w:type="dxa"/>
        <w:tblLayout w:type="fixed"/>
        <w:tblCellMar>
          <w:left w:w="70" w:type="dxa"/>
          <w:right w:w="70" w:type="dxa"/>
        </w:tblCellMar>
        <w:tblLook w:val="0000"/>
      </w:tblPr>
      <w:tblGrid>
        <w:gridCol w:w="5529"/>
        <w:gridCol w:w="1134"/>
        <w:gridCol w:w="2976"/>
      </w:tblGrid>
      <w:tr>
        <w:trPr>
          <w:cantSplit/>
        </w:trPr>
        <w:tc>
          <w:tcPr>
            <w:tcW w:w="5529" w:type="dxa"/>
            <w:tcBorders>
              <w:top w:val="nil"/>
              <w:left w:val="nil"/>
              <w:bottom w:val="nil"/>
              <w:right w:val="nil"/>
            </w:tcBorders>
          </w:tcPr>
          <w:p>
            <w:pPr>
              <w:ind w:right="282"/>
              <w:rPr>
                <w:rFonts w:ascii="Arial" w:hAnsi="Arial" w:cs="Arial"/>
                <w:sz w:val="22"/>
                <w:szCs w:val="22"/>
              </w:rPr>
            </w:pPr>
          </w:p>
          <w:p>
            <w:pPr>
              <w:ind w:right="282"/>
              <w:rPr>
                <w:rFonts w:ascii="Arial" w:hAnsi="Arial" w:cs="Arial"/>
                <w:b/>
                <w:sz w:val="22"/>
                <w:szCs w:val="22"/>
              </w:rPr>
            </w:pPr>
          </w:p>
        </w:tc>
        <w:tc>
          <w:tcPr>
            <w:tcW w:w="1134" w:type="dxa"/>
            <w:tcBorders>
              <w:top w:val="nil"/>
              <w:left w:val="nil"/>
              <w:bottom w:val="nil"/>
              <w:right w:val="nil"/>
            </w:tcBorders>
          </w:tcPr>
          <w:p>
            <w:pPr>
              <w:ind w:right="282"/>
              <w:jc w:val="both"/>
              <w:rPr>
                <w:rFonts w:ascii="Arial" w:hAnsi="Arial" w:cs="Arial"/>
                <w:sz w:val="22"/>
                <w:szCs w:val="22"/>
              </w:rPr>
            </w:pPr>
          </w:p>
        </w:tc>
        <w:tc>
          <w:tcPr>
            <w:tcW w:w="2976" w:type="dxa"/>
            <w:tcBorders>
              <w:top w:val="nil"/>
              <w:left w:val="nil"/>
              <w:bottom w:val="nil"/>
              <w:right w:val="nil"/>
            </w:tcBorders>
          </w:tcPr>
          <w:p>
            <w:pPr>
              <w:ind w:right="282"/>
              <w:jc w:val="both"/>
              <w:rPr>
                <w:rFonts w:ascii="Arial" w:hAnsi="Arial" w:cs="Arial"/>
                <w:sz w:val="22"/>
                <w:szCs w:val="22"/>
              </w:rPr>
            </w:pPr>
            <w:r>
              <w:rPr>
                <w:rFonts w:ascii="Arial" w:hAnsi="Arial" w:cs="Arial"/>
                <w:b/>
                <w:noProof/>
                <w:sz w:val="22"/>
                <w:szCs w:val="22"/>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style="width:117pt;height:60.75pt;visibility:visible">
                  <v:imagedata r:id="rId7" o:title=""/>
                </v:shape>
              </w:pict>
            </w:r>
          </w:p>
        </w:tc>
      </w:tr>
      <w:tr>
        <w:trPr>
          <w:cantSplit/>
        </w:trPr>
        <w:tc>
          <w:tcPr>
            <w:tcW w:w="5529" w:type="dxa"/>
            <w:tcBorders>
              <w:top w:val="nil"/>
              <w:left w:val="nil"/>
              <w:bottom w:val="nil"/>
              <w:right w:val="nil"/>
            </w:tcBorders>
          </w:tcPr>
          <w:p>
            <w:pPr>
              <w:rPr>
                <w:rFonts w:ascii="Arial" w:hAnsi="Arial" w:cs="Arial"/>
                <w:sz w:val="22"/>
                <w:szCs w:val="22"/>
                <w:u w:val="single"/>
              </w:rPr>
            </w:pPr>
            <w:r>
              <w:rPr>
                <w:rFonts w:ascii="Arial" w:hAnsi="Arial" w:cs="Arial"/>
                <w:sz w:val="22"/>
                <w:szCs w:val="22"/>
                <w:u w:val="single"/>
              </w:rPr>
              <w:t>To:</w:t>
            </w:r>
          </w:p>
          <w:p>
            <w:pPr>
              <w:ind w:left="30"/>
              <w:rPr>
                <w:rFonts w:ascii="Arial" w:hAnsi="Arial" w:cs="Arial"/>
                <w:sz w:val="22"/>
                <w:szCs w:val="22"/>
                <w:lang w:eastAsia="en-GB"/>
              </w:rPr>
            </w:pPr>
            <w:r>
              <w:rPr>
                <w:rFonts w:ascii="Arial" w:hAnsi="Arial" w:cs="Arial"/>
                <w:sz w:val="22"/>
                <w:szCs w:val="22"/>
                <w:lang w:eastAsia="en-GB"/>
              </w:rPr>
              <w:t>Chairman SE PT 44</w:t>
            </w:r>
          </w:p>
          <w:p>
            <w:pPr>
              <w:ind w:left="30"/>
              <w:rPr>
                <w:rFonts w:ascii="Arial" w:hAnsi="Arial" w:cs="Arial"/>
                <w:sz w:val="22"/>
                <w:szCs w:val="22"/>
                <w:lang w:eastAsia="en-GB"/>
              </w:rPr>
            </w:pPr>
            <w:r>
              <w:rPr>
                <w:rFonts w:ascii="Arial" w:hAnsi="Arial" w:cs="Arial"/>
                <w:sz w:val="22"/>
                <w:szCs w:val="22"/>
                <w:lang w:eastAsia="en-GB"/>
              </w:rPr>
              <w:t>Stefan Bach</w:t>
            </w:r>
          </w:p>
          <w:p>
            <w:pPr>
              <w:ind w:left="30"/>
              <w:rPr>
                <w:lang w:val="de-DE"/>
              </w:rPr>
            </w:pPr>
            <w:r>
              <w:rPr>
                <w:rFonts w:ascii="Arial" w:hAnsi="Arial" w:cs="Arial"/>
                <w:sz w:val="22"/>
                <w:szCs w:val="22"/>
                <w:lang w:val="de-DE" w:eastAsia="en-GB"/>
              </w:rPr>
              <w:t xml:space="preserve">E-mail: </w:t>
            </w:r>
            <w:hyperlink r:id="rId8" w:history="1">
              <w:r>
                <w:rPr>
                  <w:rStyle w:val="Hyperlink"/>
                  <w:rFonts w:ascii="Arial" w:hAnsi="Arial" w:cs="Arial"/>
                  <w:sz w:val="22"/>
                  <w:szCs w:val="22"/>
                  <w:lang w:val="de-DE" w:eastAsia="en-GB"/>
                </w:rPr>
                <w:t>stefan.bach@bnetza.de</w:t>
              </w:r>
            </w:hyperlink>
          </w:p>
          <w:p>
            <w:pPr>
              <w:ind w:left="30"/>
              <w:rPr>
                <w:rFonts w:ascii="Arial" w:hAnsi="Arial" w:cs="Arial"/>
                <w:sz w:val="22"/>
                <w:szCs w:val="22"/>
                <w:lang w:val="de-DE"/>
              </w:rPr>
            </w:pPr>
          </w:p>
          <w:p>
            <w:pPr>
              <w:ind w:left="30"/>
              <w:rPr>
                <w:rFonts w:ascii="Arial" w:hAnsi="Arial" w:cs="Arial"/>
                <w:sz w:val="22"/>
                <w:szCs w:val="22"/>
                <w:u w:val="single"/>
              </w:rPr>
            </w:pPr>
            <w:r>
              <w:rPr>
                <w:rFonts w:ascii="Arial" w:hAnsi="Arial" w:cs="Arial"/>
                <w:sz w:val="22"/>
                <w:szCs w:val="22"/>
                <w:u w:val="single"/>
              </w:rPr>
              <w:t>CC:</w:t>
            </w:r>
          </w:p>
          <w:p>
            <w:pPr>
              <w:jc w:val="both"/>
              <w:rPr>
                <w:rFonts w:ascii="Arial" w:hAnsi="Arial" w:cs="Arial"/>
                <w:sz w:val="22"/>
                <w:szCs w:val="22"/>
              </w:rPr>
            </w:pPr>
            <w:r>
              <w:rPr>
                <w:rFonts w:ascii="Arial" w:hAnsi="Arial" w:cs="Arial"/>
                <w:sz w:val="22"/>
                <w:szCs w:val="22"/>
              </w:rPr>
              <w:t>Chairman WG FM</w:t>
            </w:r>
          </w:p>
          <w:p>
            <w:pPr>
              <w:jc w:val="both"/>
              <w:rPr>
                <w:rFonts w:ascii="Arial" w:hAnsi="Arial" w:cs="Arial"/>
                <w:sz w:val="22"/>
                <w:szCs w:val="22"/>
                <w:lang w:val="en-IE"/>
              </w:rPr>
            </w:pPr>
            <w:r>
              <w:rPr>
                <w:rFonts w:ascii="Arial" w:hAnsi="Arial" w:cs="Arial"/>
                <w:sz w:val="22"/>
                <w:szCs w:val="22"/>
                <w:lang w:val="en-IE"/>
              </w:rPr>
              <w:t>Sergey Pastukh</w:t>
            </w:r>
          </w:p>
          <w:p>
            <w:pPr>
              <w:jc w:val="both"/>
              <w:rPr>
                <w:rFonts w:ascii="Arial" w:hAnsi="Arial" w:cs="Arial"/>
                <w:sz w:val="22"/>
                <w:szCs w:val="22"/>
              </w:rPr>
            </w:pPr>
            <w:r>
              <w:rPr>
                <w:rFonts w:ascii="Arial" w:hAnsi="Arial" w:cs="Arial"/>
                <w:sz w:val="22"/>
                <w:szCs w:val="22"/>
              </w:rPr>
              <w:t xml:space="preserve">E-mail: </w:t>
            </w:r>
            <w:hyperlink r:id="rId9" w:history="1">
              <w:r>
                <w:rPr>
                  <w:rStyle w:val="Hyperlink"/>
                  <w:rFonts w:ascii="Arial" w:hAnsi="Arial" w:cs="Arial"/>
                  <w:sz w:val="22"/>
                  <w:szCs w:val="22"/>
                </w:rPr>
                <w:t>sup@niir.ru</w:t>
              </w:r>
            </w:hyperlink>
            <w:r>
              <w:rPr>
                <w:rFonts w:ascii="Arial" w:hAnsi="Arial" w:cs="Arial"/>
                <w:sz w:val="22"/>
                <w:szCs w:val="22"/>
              </w:rPr>
              <w:t xml:space="preserve"> </w:t>
            </w:r>
          </w:p>
          <w:p>
            <w:pPr>
              <w:jc w:val="both"/>
              <w:rPr>
                <w:rFonts w:ascii="Arial" w:hAnsi="Arial" w:cs="Arial"/>
                <w:sz w:val="22"/>
                <w:szCs w:val="22"/>
              </w:rPr>
            </w:pPr>
          </w:p>
          <w:p>
            <w:pPr>
              <w:ind w:left="30"/>
              <w:rPr>
                <w:rFonts w:ascii="Arial" w:hAnsi="Arial" w:cs="Arial"/>
                <w:sz w:val="22"/>
                <w:szCs w:val="22"/>
              </w:rPr>
            </w:pPr>
            <w:r>
              <w:rPr>
                <w:rFonts w:ascii="Arial" w:hAnsi="Arial" w:cs="Arial"/>
                <w:sz w:val="22"/>
                <w:szCs w:val="22"/>
              </w:rPr>
              <w:t>Chairman FM PT 48</w:t>
            </w:r>
          </w:p>
          <w:p>
            <w:pPr>
              <w:ind w:left="30"/>
              <w:rPr>
                <w:rFonts w:ascii="Arial" w:hAnsi="Arial" w:cs="Arial"/>
                <w:sz w:val="22"/>
                <w:szCs w:val="22"/>
                <w:lang w:val="de-DE"/>
              </w:rPr>
            </w:pPr>
            <w:r>
              <w:rPr>
                <w:rFonts w:ascii="Arial" w:hAnsi="Arial" w:cs="Arial"/>
                <w:sz w:val="22"/>
                <w:szCs w:val="22"/>
                <w:lang w:val="de-DE"/>
              </w:rPr>
              <w:t>Thomas Weilacher</w:t>
            </w:r>
          </w:p>
          <w:p>
            <w:pPr>
              <w:ind w:left="30"/>
              <w:rPr>
                <w:rFonts w:ascii="Arial" w:hAnsi="Arial" w:cs="Arial"/>
                <w:sz w:val="22"/>
                <w:szCs w:val="22"/>
                <w:lang w:val="de-DE"/>
              </w:rPr>
            </w:pPr>
            <w:r>
              <w:rPr>
                <w:rFonts w:ascii="Arial" w:hAnsi="Arial" w:cs="Arial"/>
                <w:sz w:val="22"/>
                <w:szCs w:val="22"/>
                <w:lang w:val="de-DE"/>
              </w:rPr>
              <w:t xml:space="preserve">E-mail: </w:t>
            </w:r>
            <w:hyperlink r:id="rId10" w:history="1">
              <w:r>
                <w:rPr>
                  <w:rStyle w:val="Hyperlink"/>
                  <w:rFonts w:ascii="Arial" w:hAnsi="Arial" w:cs="Arial"/>
                  <w:sz w:val="22"/>
                  <w:szCs w:val="22"/>
                  <w:lang w:val="de-DE"/>
                </w:rPr>
                <w:t>thomas.weilacher@bnetza.de</w:t>
              </w:r>
            </w:hyperlink>
            <w:r>
              <w:rPr>
                <w:rFonts w:ascii="Arial" w:hAnsi="Arial" w:cs="Arial"/>
                <w:sz w:val="22"/>
                <w:szCs w:val="22"/>
                <w:lang w:val="de-DE"/>
              </w:rPr>
              <w:t xml:space="preserve"> </w:t>
            </w:r>
          </w:p>
          <w:p>
            <w:pPr>
              <w:ind w:left="30"/>
              <w:rPr>
                <w:rFonts w:ascii="Arial" w:hAnsi="Arial" w:cs="Arial"/>
                <w:sz w:val="22"/>
                <w:szCs w:val="22"/>
                <w:lang w:val="de-DE"/>
              </w:rPr>
            </w:pPr>
          </w:p>
          <w:p>
            <w:pPr>
              <w:jc w:val="both"/>
              <w:rPr>
                <w:rFonts w:ascii="Arial" w:hAnsi="Arial" w:cs="Arial"/>
                <w:sz w:val="22"/>
                <w:szCs w:val="22"/>
              </w:rPr>
            </w:pPr>
            <w:r>
              <w:rPr>
                <w:rFonts w:ascii="Arial" w:hAnsi="Arial" w:cs="Arial"/>
                <w:sz w:val="22"/>
                <w:szCs w:val="22"/>
              </w:rPr>
              <w:t>Chairman WG SE</w:t>
            </w:r>
          </w:p>
          <w:p>
            <w:pPr>
              <w:jc w:val="both"/>
              <w:rPr>
                <w:rFonts w:ascii="Arial" w:hAnsi="Arial" w:cs="Arial"/>
                <w:sz w:val="22"/>
                <w:szCs w:val="22"/>
              </w:rPr>
            </w:pPr>
            <w:r>
              <w:rPr>
                <w:rFonts w:eastAsia="Batang"/>
                <w:sz w:val="24"/>
                <w:szCs w:val="24"/>
                <w:lang w:val="it-IT"/>
              </w:rPr>
              <w:t xml:space="preserve"> </w:t>
            </w:r>
            <w:r>
              <w:rPr>
                <w:rFonts w:ascii="Arial" w:hAnsi="Arial" w:cs="Arial"/>
                <w:sz w:val="22"/>
                <w:szCs w:val="22"/>
              </w:rPr>
              <w:t xml:space="preserve">Bruno Espinosa </w:t>
            </w:r>
          </w:p>
          <w:p>
            <w:pPr>
              <w:jc w:val="both"/>
              <w:rPr>
                <w:rFonts w:ascii="Arial" w:hAnsi="Arial" w:cs="Arial"/>
                <w:sz w:val="22"/>
                <w:szCs w:val="22"/>
                <w:lang w:val="de-DE"/>
              </w:rPr>
            </w:pPr>
            <w:r>
              <w:rPr>
                <w:rFonts w:ascii="Arial" w:hAnsi="Arial" w:cs="Arial"/>
                <w:sz w:val="22"/>
                <w:szCs w:val="22"/>
                <w:lang w:val="de-DE"/>
              </w:rPr>
              <w:t xml:space="preserve">E-mail: </w:t>
            </w:r>
            <w:hyperlink r:id="rId11" w:history="1">
              <w:r>
                <w:rPr>
                  <w:rStyle w:val="Hyperlink"/>
                  <w:rFonts w:ascii="Arial" w:hAnsi="Arial" w:cs="Arial"/>
                  <w:sz w:val="22"/>
                  <w:szCs w:val="22"/>
                </w:rPr>
                <w:t>espinosa@anfr.fr</w:t>
              </w:r>
            </w:hyperlink>
          </w:p>
        </w:tc>
        <w:tc>
          <w:tcPr>
            <w:tcW w:w="1134" w:type="dxa"/>
            <w:tcBorders>
              <w:top w:val="nil"/>
              <w:left w:val="nil"/>
              <w:bottom w:val="nil"/>
              <w:right w:val="nil"/>
            </w:tcBorders>
          </w:tcPr>
          <w:p>
            <w:pPr>
              <w:jc w:val="both"/>
              <w:rPr>
                <w:rFonts w:ascii="Arial" w:hAnsi="Arial" w:cs="Arial"/>
                <w:sz w:val="22"/>
                <w:szCs w:val="22"/>
                <w:lang w:val="de-DE"/>
              </w:rPr>
            </w:pPr>
          </w:p>
        </w:tc>
        <w:tc>
          <w:tcPr>
            <w:tcW w:w="2976" w:type="dxa"/>
            <w:tcBorders>
              <w:top w:val="nil"/>
              <w:left w:val="nil"/>
              <w:bottom w:val="nil"/>
              <w:right w:val="nil"/>
            </w:tcBorders>
          </w:tcPr>
          <w:p>
            <w:pPr>
              <w:jc w:val="both"/>
              <w:rPr>
                <w:rFonts w:ascii="Arial" w:hAnsi="Arial" w:cs="Arial"/>
                <w:color w:val="000000"/>
                <w:sz w:val="22"/>
                <w:szCs w:val="22"/>
                <w:lang w:val="de-DE"/>
              </w:rPr>
            </w:pPr>
          </w:p>
          <w:p>
            <w:pPr>
              <w:jc w:val="both"/>
              <w:rPr>
                <w:rFonts w:ascii="Arial" w:hAnsi="Arial" w:cs="Arial"/>
                <w:sz w:val="22"/>
                <w:szCs w:val="22"/>
                <w:lang w:val="de-DE"/>
              </w:rPr>
            </w:pPr>
          </w:p>
        </w:tc>
      </w:tr>
      <w:tr>
        <w:trPr>
          <w:cantSplit/>
        </w:trPr>
        <w:tc>
          <w:tcPr>
            <w:tcW w:w="6663" w:type="dxa"/>
            <w:gridSpan w:val="2"/>
            <w:tcBorders>
              <w:top w:val="nil"/>
              <w:left w:val="nil"/>
              <w:bottom w:val="nil"/>
              <w:right w:val="nil"/>
            </w:tcBorders>
          </w:tcPr>
          <w:p>
            <w:pPr>
              <w:rPr>
                <w:rFonts w:ascii="Arial" w:hAnsi="Arial" w:cs="Arial"/>
                <w:sz w:val="22"/>
                <w:szCs w:val="22"/>
                <w:lang w:val="de-DE"/>
              </w:rPr>
            </w:pPr>
          </w:p>
          <w:p>
            <w:pPr>
              <w:rPr>
                <w:rFonts w:ascii="Arial" w:hAnsi="Arial" w:cs="Arial"/>
                <w:sz w:val="22"/>
                <w:szCs w:val="22"/>
                <w:lang w:val="de-DE"/>
              </w:rPr>
            </w:pPr>
          </w:p>
        </w:tc>
        <w:tc>
          <w:tcPr>
            <w:tcW w:w="2976" w:type="dxa"/>
            <w:tcBorders>
              <w:top w:val="nil"/>
              <w:left w:val="nil"/>
              <w:bottom w:val="nil"/>
              <w:right w:val="nil"/>
            </w:tcBorders>
          </w:tcPr>
          <w:p>
            <w:pPr>
              <w:jc w:val="right"/>
              <w:rPr>
                <w:rFonts w:ascii="Arial" w:hAnsi="Arial" w:cs="Arial"/>
                <w:sz w:val="22"/>
                <w:szCs w:val="22"/>
              </w:rPr>
            </w:pPr>
            <w:r>
              <w:rPr>
                <w:rFonts w:ascii="Arial" w:hAnsi="Arial" w:cs="Arial"/>
                <w:sz w:val="22"/>
                <w:szCs w:val="22"/>
              </w:rPr>
              <w:t xml:space="preserve">Date: </w:t>
            </w:r>
            <w:smartTag w:uri="urn:schemas-microsoft-com:office:smarttags" w:element="date">
              <w:smartTagPr>
                <w:attr w:name="Month" w:val="4"/>
                <w:attr w:name="Day" w:val="13"/>
                <w:attr w:name="Year" w:val="2012"/>
              </w:smartTagPr>
              <w:r>
                <w:rPr>
                  <w:rFonts w:ascii="Arial" w:hAnsi="Arial" w:cs="Arial"/>
                  <w:sz w:val="22"/>
                  <w:szCs w:val="22"/>
                </w:rPr>
                <w:t>13 April 2012</w:t>
              </w:r>
            </w:smartTag>
          </w:p>
        </w:tc>
      </w:tr>
      <w:tr>
        <w:trPr>
          <w:cantSplit/>
        </w:trPr>
        <w:tc>
          <w:tcPr>
            <w:tcW w:w="9639" w:type="dxa"/>
            <w:gridSpan w:val="3"/>
            <w:tcBorders>
              <w:top w:val="nil"/>
              <w:left w:val="nil"/>
              <w:bottom w:val="nil"/>
              <w:right w:val="nil"/>
            </w:tcBorders>
          </w:tcPr>
          <w:p>
            <w:pPr>
              <w:rPr>
                <w:rFonts w:ascii="Arial" w:hAnsi="Arial" w:cs="Arial"/>
                <w:sz w:val="22"/>
                <w:szCs w:val="22"/>
              </w:rPr>
            </w:pPr>
            <w:r>
              <w:rPr>
                <w:rFonts w:ascii="Arial" w:hAnsi="Arial" w:cs="Arial"/>
                <w:sz w:val="22"/>
                <w:szCs w:val="22"/>
              </w:rPr>
              <w:t>Source:</w:t>
            </w:r>
            <w:r>
              <w:rPr>
                <w:rFonts w:ascii="Arial" w:hAnsi="Arial" w:cs="Arial"/>
                <w:sz w:val="22"/>
                <w:szCs w:val="22"/>
              </w:rPr>
              <w:tab/>
            </w:r>
            <w:smartTag w:uri="urn:schemas-microsoft-com:office:smarttags" w:element="stockticker">
              <w:r>
                <w:rPr>
                  <w:rFonts w:ascii="Arial" w:hAnsi="Arial" w:cs="Arial"/>
                  <w:sz w:val="22"/>
                  <w:szCs w:val="22"/>
                </w:rPr>
                <w:t>ECC</w:t>
              </w:r>
            </w:smartTag>
            <w:r>
              <w:rPr>
                <w:rFonts w:ascii="Arial" w:hAnsi="Arial" w:cs="Arial"/>
                <w:sz w:val="22"/>
                <w:szCs w:val="22"/>
              </w:rPr>
              <w:t xml:space="preserve"> PT1 </w:t>
            </w:r>
          </w:p>
          <w:p>
            <w:pPr>
              <w:rPr>
                <w:rFonts w:ascii="Arial" w:hAnsi="Arial" w:cs="Arial"/>
                <w:sz w:val="22"/>
                <w:szCs w:val="22"/>
              </w:rPr>
            </w:pPr>
          </w:p>
        </w:tc>
      </w:tr>
      <w:tr>
        <w:trPr>
          <w:cantSplit/>
        </w:trPr>
        <w:tc>
          <w:tcPr>
            <w:tcW w:w="9639" w:type="dxa"/>
            <w:gridSpan w:val="3"/>
            <w:tcBorders>
              <w:top w:val="nil"/>
              <w:left w:val="nil"/>
              <w:bottom w:val="nil"/>
              <w:right w:val="nil"/>
            </w:tcBorders>
          </w:tcPr>
          <w:p>
            <w:pPr>
              <w:rPr>
                <w:rFonts w:ascii="Arial" w:hAnsi="Arial" w:cs="Arial"/>
                <w:sz w:val="22"/>
                <w:szCs w:val="22"/>
              </w:rPr>
            </w:pPr>
          </w:p>
          <w:p>
            <w:pPr>
              <w:rPr>
                <w:rFonts w:ascii="Arial" w:hAnsi="Arial" w:cs="Arial"/>
                <w:b/>
                <w:bCs/>
                <w:sz w:val="22"/>
                <w:szCs w:val="22"/>
              </w:rPr>
            </w:pPr>
            <w:r>
              <w:rPr>
                <w:rFonts w:ascii="Arial" w:hAnsi="Arial" w:cs="Arial"/>
                <w:b/>
                <w:bCs/>
                <w:sz w:val="22"/>
                <w:szCs w:val="22"/>
              </w:rPr>
              <w:t>Subject:</w:t>
            </w:r>
            <w:r>
              <w:rPr>
                <w:rFonts w:ascii="Arial" w:hAnsi="Arial" w:cs="Arial"/>
                <w:b/>
                <w:bCs/>
                <w:sz w:val="22"/>
                <w:szCs w:val="22"/>
              </w:rPr>
              <w:tab/>
              <w:t>Results on compatibility between Broadband Direct-Air-to-Ground Communications (DA2GC) and terrestrial LTE in the frequency band 3400-3600 MHz</w:t>
            </w:r>
          </w:p>
          <w:p>
            <w:pPr>
              <w:ind w:left="1430" w:hanging="1430"/>
              <w:rPr>
                <w:rFonts w:ascii="Arial" w:hAnsi="Arial" w:cs="Arial"/>
                <w:b/>
                <w:sz w:val="22"/>
                <w:szCs w:val="22"/>
              </w:rPr>
            </w:pPr>
            <w:bookmarkStart w:id="0" w:name="_GoBack"/>
            <w:bookmarkEnd w:id="0"/>
          </w:p>
        </w:tc>
      </w:tr>
      <w:tr>
        <w:trPr>
          <w:cantSplit/>
        </w:trPr>
        <w:tc>
          <w:tcPr>
            <w:tcW w:w="9639" w:type="dxa"/>
            <w:gridSpan w:val="3"/>
            <w:tcBorders>
              <w:top w:val="nil"/>
              <w:left w:val="nil"/>
              <w:bottom w:val="nil"/>
              <w:right w:val="nil"/>
            </w:tcBorders>
          </w:tcPr>
          <w:p>
            <w:pPr>
              <w:spacing w:after="120"/>
              <w:rPr>
                <w:rFonts w:ascii="Arial" w:hAnsi="Arial" w:cs="Arial"/>
                <w:sz w:val="22"/>
                <w:szCs w:val="22"/>
              </w:rPr>
            </w:pPr>
          </w:p>
        </w:tc>
      </w:tr>
    </w:tbl>
    <w:p>
      <w:pPr>
        <w:rPr>
          <w:rFonts w:ascii="Arial" w:hAnsi="Arial" w:cs="Arial"/>
          <w:sz w:val="22"/>
          <w:szCs w:val="22"/>
          <w:lang w:eastAsia="en-GB"/>
        </w:rPr>
      </w:pPr>
      <w:r>
        <w:rPr>
          <w:rFonts w:ascii="Arial" w:hAnsi="Arial" w:cs="Arial"/>
          <w:sz w:val="22"/>
          <w:szCs w:val="22"/>
          <w:lang w:eastAsia="en-GB"/>
        </w:rPr>
        <w:t xml:space="preserve">Dear Stefan, </w:t>
      </w:r>
    </w:p>
    <w:p>
      <w:pPr>
        <w:ind w:left="142"/>
        <w:rPr>
          <w:rFonts w:ascii="Arial" w:hAnsi="Arial" w:cs="Arial"/>
          <w:sz w:val="22"/>
          <w:szCs w:val="22"/>
          <w:lang w:eastAsia="en-GB"/>
        </w:rPr>
      </w:pPr>
    </w:p>
    <w:p>
      <w:pPr>
        <w:rPr>
          <w:rFonts w:ascii="Arial" w:hAnsi="Arial" w:cs="Arial"/>
          <w:b/>
          <w:bCs/>
          <w:sz w:val="22"/>
          <w:szCs w:val="22"/>
        </w:rPr>
      </w:pPr>
      <w:smartTag w:uri="urn:schemas-microsoft-com:office:smarttags" w:element="stockticker">
        <w:r>
          <w:rPr>
            <w:rFonts w:ascii="Arial" w:hAnsi="Arial" w:cs="Arial"/>
            <w:noProof/>
            <w:sz w:val="22"/>
            <w:szCs w:val="22"/>
          </w:rPr>
          <w:t>ECC</w:t>
        </w:r>
      </w:smartTag>
      <w:r>
        <w:rPr>
          <w:rFonts w:ascii="Arial" w:hAnsi="Arial" w:cs="Arial"/>
          <w:noProof/>
          <w:sz w:val="22"/>
          <w:szCs w:val="22"/>
        </w:rPr>
        <w:t xml:space="preserve"> PT1 wishes to thank SE44 for their liaison statements regarding the results on compatibility between Broadband Direct-Air-to-Ground Communications (DA2GC) and terrestrial LTE in the frequency band 3400-3600 MHz..</w:t>
      </w:r>
      <w:r>
        <w:rPr>
          <w:rFonts w:ascii="Arial" w:hAnsi="Arial" w:cs="Arial"/>
          <w:b/>
          <w:bCs/>
          <w:sz w:val="22"/>
          <w:szCs w:val="22"/>
        </w:rPr>
        <w:t xml:space="preserve"> </w:t>
      </w:r>
    </w:p>
    <w:p>
      <w:pPr>
        <w:rPr>
          <w:rFonts w:ascii="Arial" w:hAnsi="Arial" w:cs="Arial"/>
          <w:noProof/>
          <w:sz w:val="22"/>
          <w:szCs w:val="22"/>
        </w:rPr>
      </w:pPr>
    </w:p>
    <w:p>
      <w:pPr>
        <w:rPr>
          <w:rFonts w:ascii="Arial" w:hAnsi="Arial" w:cs="Arial"/>
          <w:sz w:val="22"/>
          <w:szCs w:val="22"/>
        </w:rPr>
      </w:pPr>
      <w:smartTag w:uri="urn:schemas-microsoft-com:office:smarttags" w:element="stockticker">
        <w:r>
          <w:rPr>
            <w:rFonts w:ascii="Arial" w:hAnsi="Arial" w:cs="Arial"/>
            <w:noProof/>
            <w:sz w:val="22"/>
            <w:szCs w:val="22"/>
          </w:rPr>
          <w:t>ECC</w:t>
        </w:r>
      </w:smartTag>
      <w:r>
        <w:rPr>
          <w:rFonts w:ascii="Arial" w:hAnsi="Arial" w:cs="Arial"/>
          <w:noProof/>
          <w:sz w:val="22"/>
          <w:szCs w:val="22"/>
        </w:rPr>
        <w:t xml:space="preserve"> PT1 has noted the view from SE44 that </w:t>
      </w:r>
      <w:r>
        <w:rPr>
          <w:rFonts w:ascii="Arial" w:hAnsi="Arial" w:cs="Arial"/>
          <w:sz w:val="22"/>
          <w:szCs w:val="22"/>
        </w:rPr>
        <w:t xml:space="preserve">the most spectrum efficient solution for DA2GC would require a harmonized FDD frequency arrangement to include both DA2GC and MFCN. </w:t>
      </w:r>
      <w:smartTag w:uri="urn:schemas-microsoft-com:office:smarttags" w:element="stockticker">
        <w:r>
          <w:rPr>
            <w:rFonts w:ascii="Arial" w:hAnsi="Arial" w:cs="Arial"/>
            <w:sz w:val="22"/>
            <w:szCs w:val="22"/>
          </w:rPr>
          <w:t>ECC</w:t>
        </w:r>
      </w:smartTag>
      <w:r>
        <w:rPr>
          <w:rFonts w:ascii="Arial" w:hAnsi="Arial" w:cs="Arial"/>
          <w:sz w:val="22"/>
          <w:szCs w:val="22"/>
        </w:rPr>
        <w:t xml:space="preserve"> Dec(11)06 contains both FDD and TDD arrangements for this band. A review of this decision is scheduled for the end of 2013 with the aim to provide a preferred arrangement.  </w:t>
      </w:r>
    </w:p>
    <w:p>
      <w:pPr>
        <w:rPr>
          <w:rFonts w:ascii="Arial" w:hAnsi="Arial" w:cs="Arial"/>
          <w:sz w:val="22"/>
          <w:szCs w:val="22"/>
        </w:rPr>
      </w:pPr>
    </w:p>
    <w:p>
      <w:pPr>
        <w:rPr>
          <w:rFonts w:ascii="Arial" w:hAnsi="Arial" w:cs="Arial"/>
          <w:sz w:val="22"/>
          <w:szCs w:val="22"/>
        </w:rPr>
      </w:pPr>
      <w:r>
        <w:rPr>
          <w:rFonts w:ascii="Arial" w:hAnsi="Arial" w:cs="Arial"/>
          <w:sz w:val="22"/>
          <w:szCs w:val="22"/>
        </w:rPr>
        <w:t xml:space="preserve">The harmonised frequency arrangements in </w:t>
      </w:r>
      <w:smartTag w:uri="urn:schemas-microsoft-com:office:smarttags" w:element="stockticker">
        <w:r>
          <w:rPr>
            <w:rFonts w:ascii="Arial" w:hAnsi="Arial" w:cs="Arial"/>
            <w:sz w:val="22"/>
            <w:szCs w:val="22"/>
          </w:rPr>
          <w:t>ECC</w:t>
        </w:r>
      </w:smartTag>
      <w:r>
        <w:rPr>
          <w:rFonts w:ascii="Arial" w:hAnsi="Arial" w:cs="Arial"/>
          <w:sz w:val="22"/>
          <w:szCs w:val="22"/>
        </w:rPr>
        <w:t xml:space="preserve"> Decision 11(06) are intended to facilitate high data rate mobile/fixed communications networks (MFCN) including International Mobile Telecommunications (IMT) services supported by larger channel bandwidths.  Wider channel bandwidths such as 10, 20 and 40 MHz or more are expected to be accommodated in particular in this band.  Hence ECC PT1 considers that the usage of parts of the band for DA2GC is not the most efficient usage scenario since it would constrain the usage of wider carriers for mobile broadband. Furthermore such a usage would at least preempt (if not negatively impact) the work of ECC PT1 regarding the review of ECC Dec(11)06 until the end of next year.</w:t>
      </w:r>
    </w:p>
    <w:p>
      <w:pPr>
        <w:rPr>
          <w:rFonts w:ascii="Arial" w:hAnsi="Arial" w:cs="Arial"/>
          <w:sz w:val="22"/>
          <w:szCs w:val="22"/>
        </w:rPr>
      </w:pPr>
    </w:p>
    <w:p>
      <w:pPr>
        <w:rPr>
          <w:rFonts w:ascii="Arial" w:hAnsi="Arial" w:cs="Arial"/>
          <w:sz w:val="22"/>
          <w:szCs w:val="22"/>
        </w:rPr>
      </w:pPr>
      <w:smartTag w:uri="urn:schemas-microsoft-com:office:smarttags" w:element="stockticker">
        <w:r>
          <w:rPr>
            <w:rFonts w:ascii="Arial" w:hAnsi="Arial" w:cs="Arial"/>
            <w:sz w:val="22"/>
            <w:szCs w:val="22"/>
          </w:rPr>
          <w:t>ECC</w:t>
        </w:r>
      </w:smartTag>
      <w:r>
        <w:rPr>
          <w:rFonts w:ascii="Arial" w:hAnsi="Arial" w:cs="Arial"/>
          <w:sz w:val="22"/>
          <w:szCs w:val="22"/>
        </w:rPr>
        <w:t xml:space="preserve"> PT1 notes the recent Liaison from WGSE to WGFM relating to this band and fully shares the view that alternative frequency bands for the use for Broadband DA2GC applications should be considered.    </w:t>
      </w:r>
    </w:p>
    <w:p>
      <w:pPr>
        <w:rPr>
          <w:rFonts w:ascii="Arial" w:hAnsi="Arial" w:cs="Arial"/>
          <w:sz w:val="22"/>
          <w:szCs w:val="22"/>
        </w:rPr>
      </w:pPr>
    </w:p>
    <w:p>
      <w:pPr>
        <w:rPr>
          <w:rFonts w:ascii="Arial" w:hAnsi="Arial" w:cs="Arial"/>
          <w:sz w:val="22"/>
          <w:szCs w:val="22"/>
        </w:rPr>
      </w:pPr>
    </w:p>
    <w:p>
      <w:pPr>
        <w:rPr>
          <w:rFonts w:ascii="Arial" w:hAnsi="Arial" w:cs="Arial"/>
          <w:sz w:val="22"/>
          <w:szCs w:val="22"/>
        </w:rPr>
      </w:pPr>
    </w:p>
    <w:p>
      <w:pPr>
        <w:rPr>
          <w:rFonts w:ascii="Arial" w:hAnsi="Arial" w:cs="Arial"/>
          <w:sz w:val="22"/>
          <w:szCs w:val="22"/>
        </w:rPr>
      </w:pPr>
    </w:p>
    <w:p>
      <w:pPr>
        <w:ind w:left="142"/>
        <w:rPr>
          <w:rFonts w:ascii="Arial" w:hAnsi="Arial" w:cs="Arial"/>
          <w:sz w:val="22"/>
          <w:szCs w:val="22"/>
        </w:rPr>
      </w:pPr>
    </w:p>
    <w:p>
      <w:pPr>
        <w:rPr>
          <w:rFonts w:ascii="Arial" w:hAnsi="Arial" w:cs="Arial"/>
          <w:sz w:val="22"/>
          <w:szCs w:val="22"/>
          <w:lang w:eastAsia="en-GB"/>
        </w:rPr>
      </w:pPr>
    </w:p>
    <w:p>
      <w:pPr>
        <w:rPr>
          <w:rFonts w:ascii="Arial" w:hAnsi="Arial" w:cs="Arial"/>
          <w:sz w:val="22"/>
          <w:szCs w:val="22"/>
          <w:lang w:eastAsia="en-GB"/>
        </w:rPr>
      </w:pPr>
      <w:r>
        <w:rPr>
          <w:rFonts w:ascii="Arial" w:hAnsi="Arial" w:cs="Arial"/>
          <w:sz w:val="22"/>
          <w:szCs w:val="22"/>
          <w:lang w:eastAsia="en-GB"/>
        </w:rPr>
        <w:t>Kind regards</w:t>
      </w:r>
    </w:p>
    <w:p>
      <w:pPr>
        <w:rPr>
          <w:rFonts w:ascii="Arial" w:hAnsi="Arial" w:cs="Arial"/>
          <w:sz w:val="22"/>
          <w:szCs w:val="22"/>
          <w:lang w:eastAsia="en-GB"/>
        </w:rPr>
      </w:pPr>
    </w:p>
    <w:p>
      <w:pPr>
        <w:jc w:val="both"/>
        <w:rPr>
          <w:rFonts w:ascii="Arial" w:hAnsi="Arial" w:cs="Arial"/>
          <w:noProof/>
          <w:sz w:val="22"/>
          <w:szCs w:val="22"/>
          <w:lang w:val="fr-FR"/>
        </w:rPr>
      </w:pPr>
      <w:r>
        <w:rPr>
          <w:rFonts w:ascii="Arial" w:hAnsi="Arial" w:cs="Arial"/>
          <w:noProof/>
          <w:sz w:val="22"/>
          <w:szCs w:val="22"/>
          <w:lang w:val="fr-FR"/>
        </w:rPr>
        <w:t>Didier Chauveau</w:t>
      </w:r>
    </w:p>
    <w:p>
      <w:pPr>
        <w:jc w:val="both"/>
        <w:rPr>
          <w:rFonts w:ascii="Arial" w:hAnsi="Arial" w:cs="Arial"/>
          <w:noProof/>
          <w:sz w:val="22"/>
          <w:szCs w:val="22"/>
          <w:lang w:val="fr-FR"/>
        </w:rPr>
      </w:pPr>
      <w:r>
        <w:rPr>
          <w:rFonts w:ascii="Arial" w:hAnsi="Arial" w:cs="Arial"/>
          <w:noProof/>
          <w:sz w:val="22"/>
          <w:szCs w:val="22"/>
          <w:lang w:val="fr-FR"/>
        </w:rPr>
        <w:t xml:space="preserve">Chairman </w:t>
      </w:r>
      <w:smartTag w:uri="urn:schemas-microsoft-com:office:smarttags" w:element="stockticker">
        <w:r>
          <w:rPr>
            <w:rFonts w:ascii="Arial" w:hAnsi="Arial" w:cs="Arial"/>
            <w:noProof/>
            <w:sz w:val="22"/>
            <w:szCs w:val="22"/>
            <w:lang w:val="fr-FR"/>
          </w:rPr>
          <w:t>ECC</w:t>
        </w:r>
      </w:smartTag>
      <w:r>
        <w:rPr>
          <w:rFonts w:ascii="Arial" w:hAnsi="Arial" w:cs="Arial"/>
          <w:noProof/>
          <w:sz w:val="22"/>
          <w:szCs w:val="22"/>
          <w:lang w:val="fr-FR"/>
        </w:rPr>
        <w:t xml:space="preserve"> PT1</w:t>
      </w:r>
    </w:p>
    <w:p>
      <w:pPr>
        <w:rPr>
          <w:rFonts w:ascii="Arial" w:hAnsi="Arial" w:cs="Arial"/>
          <w:sz w:val="22"/>
          <w:szCs w:val="22"/>
          <w:lang w:eastAsia="en-GB"/>
        </w:rPr>
      </w:pPr>
      <w:hyperlink r:id="rId12" w:history="1">
        <w:r>
          <w:rPr>
            <w:rStyle w:val="Hyperlink"/>
            <w:rFonts w:ascii="Arial" w:hAnsi="Arial" w:cs="Arial"/>
            <w:noProof/>
            <w:sz w:val="22"/>
            <w:szCs w:val="22"/>
          </w:rPr>
          <w:t>Chauveau@anfr.fr</w:t>
        </w:r>
      </w:hyperlink>
    </w:p>
    <w:p>
      <w:pPr>
        <w:ind w:left="142"/>
        <w:rPr>
          <w:rFonts w:ascii="Arial" w:hAnsi="Arial" w:cs="Arial"/>
          <w:sz w:val="22"/>
          <w:szCs w:val="22"/>
          <w:lang w:eastAsia="en-GB"/>
        </w:rPr>
      </w:pPr>
    </w:p>
    <w:sectPr>
      <w:headerReference w:type="first" r:id="rId13"/>
      <w:pgSz w:w="11906" w:h="16838"/>
      <w:pgMar w:top="1417" w:right="1417" w:bottom="1134" w:left="141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Kopfzeile"/>
      <w:jc w:val="right"/>
      <w:rPr>
        <w:rFonts w:ascii="Arial" w:hAnsi="Arial" w:cs="Arial"/>
        <w:b/>
        <w:sz w:val="24"/>
        <w:szCs w:val="24"/>
        <w:lang w:val="de-D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
    <w:nsid w:val="2B8301DD"/>
    <w:multiLevelType w:val="hybridMultilevel"/>
    <w:tmpl w:val="5D561E1A"/>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3">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B91258"/>
    <w:multiLevelType w:val="hybridMultilevel"/>
    <w:tmpl w:val="B61C083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5">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trackRevisions/>
  <w:doNotTrackMoves/>
  <w:defaultTabStop w:val="720"/>
  <w:hyphenationZone w:val="425"/>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Pr>
      <w:lang w:val="en-GB"/>
    </w:rPr>
  </w:style>
  <w:style w:type="paragraph" w:styleId="berschrift3">
    <w:name w:val="heading 3"/>
    <w:basedOn w:val="Standard"/>
    <w:next w:val="Standard"/>
    <w:link w:val="berschrift3Zchn"/>
    <w:uiPriority w:val="99"/>
    <w:qFormat/>
    <w:pPr>
      <w:keepNext/>
      <w:jc w:val="right"/>
      <w:outlineLvl w:val="2"/>
    </w:pPr>
    <w:rPr>
      <w:rFonts w:ascii="Arial" w:hAnsi="Arial"/>
      <w:b/>
      <w:sz w:val="24"/>
    </w:rPr>
  </w:style>
  <w:style w:type="paragraph" w:styleId="berschrift4">
    <w:name w:val="heading 4"/>
    <w:basedOn w:val="Standard"/>
    <w:next w:val="Standard"/>
    <w:link w:val="berschrift4Zchn"/>
    <w:uiPriority w:val="99"/>
    <w:qFormat/>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Pr>
      <w:rFonts w:ascii="Calibri" w:hAnsi="Calibri" w:cs="Times New Roman"/>
      <w:b/>
      <w:bCs/>
      <w:sz w:val="28"/>
      <w:szCs w:val="28"/>
      <w:lang w:val="en-GB"/>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lang w:val="en-GB"/>
    </w:rPr>
  </w:style>
  <w:style w:type="paragraph" w:styleId="Funotentext">
    <w:name w:val="footnote text"/>
    <w:basedOn w:val="Standard"/>
    <w:link w:val="FunotentextZchn"/>
    <w:uiPriority w:val="99"/>
    <w:semiHidden/>
  </w:style>
  <w:style w:type="character" w:customStyle="1" w:styleId="FunotentextZchn">
    <w:name w:val="Fußnotentext Zchn"/>
    <w:basedOn w:val="Absatz-Standardschriftart"/>
    <w:link w:val="Funotentext"/>
    <w:uiPriority w:val="99"/>
    <w:semiHidden/>
    <w:locked/>
    <w:rPr>
      <w:rFonts w:cs="Times New Roman"/>
      <w:sz w:val="20"/>
      <w:szCs w:val="20"/>
      <w:lang w:val="en-GB"/>
    </w:rPr>
  </w:style>
  <w:style w:type="paragraph" w:styleId="Kopfzeile">
    <w:name w:val="header"/>
    <w:basedOn w:val="Standard"/>
    <w:link w:val="KopfzeileZchn"/>
    <w:uiPriority w:val="99"/>
    <w:semiHidden/>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Pr>
      <w:rFonts w:cs="Times New Roman"/>
      <w:sz w:val="20"/>
      <w:szCs w:val="20"/>
      <w:lang w:val="en-GB"/>
    </w:rPr>
  </w:style>
  <w:style w:type="paragraph" w:styleId="Fuzeile">
    <w:name w:val="footer"/>
    <w:basedOn w:val="Standard"/>
    <w:link w:val="FuzeileZchn"/>
    <w:uiPriority w:val="99"/>
    <w:semiHidden/>
    <w:pPr>
      <w:tabs>
        <w:tab w:val="center" w:pos="4153"/>
        <w:tab w:val="right" w:pos="8306"/>
      </w:tabs>
    </w:pPr>
  </w:style>
  <w:style w:type="character" w:customStyle="1" w:styleId="FuzeileZchn">
    <w:name w:val="Fußzeile Zchn"/>
    <w:basedOn w:val="Absatz-Standardschriftart"/>
    <w:link w:val="Fuzeile"/>
    <w:uiPriority w:val="99"/>
    <w:semiHidden/>
    <w:locked/>
    <w:rPr>
      <w:rFonts w:cs="Times New Roman"/>
      <w:sz w:val="20"/>
      <w:szCs w:val="20"/>
      <w:lang w:val="en-GB"/>
    </w:rPr>
  </w:style>
  <w:style w:type="paragraph" w:customStyle="1" w:styleId="CharChar">
    <w:name w:val="Char Char"/>
    <w:basedOn w:val="Standard"/>
    <w:uiPriority w:val="99"/>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Pr>
      <w:lang w:val="en-GB" w:eastAsia="de-DE"/>
    </w:rPr>
  </w:style>
  <w:style w:type="character" w:customStyle="1" w:styleId="a">
    <w:name w:val="Знак Знак"/>
    <w:uiPriority w:val="99"/>
    <w:rPr>
      <w:rFonts w:ascii="Tahoma" w:hAnsi="Tahoma"/>
      <w:sz w:val="16"/>
      <w:lang w:val="en-GB" w:eastAsia="de-DE"/>
    </w:rPr>
  </w:style>
  <w:style w:type="character" w:styleId="Hyperlink">
    <w:name w:val="Hyperlink"/>
    <w:basedOn w:val="Absatz-Standardschriftart"/>
    <w:uiPriority w:val="99"/>
    <w:semiHidden/>
    <w:rPr>
      <w:rFonts w:cs="Times New Roman"/>
      <w:color w:val="0000FF"/>
      <w:u w:val="single"/>
    </w:rPr>
  </w:style>
  <w:style w:type="character" w:styleId="Funotenzeichen">
    <w:name w:val="footnote reference"/>
    <w:basedOn w:val="Absatz-Standardschriftart"/>
    <w:uiPriority w:val="99"/>
    <w:semiHidden/>
    <w:rPr>
      <w:rFonts w:cs="Times New Roman"/>
      <w:vertAlign w:val="superscript"/>
    </w:rPr>
  </w:style>
  <w:style w:type="paragraph" w:styleId="Listenabsatz">
    <w:name w:val="List Paragraph"/>
    <w:basedOn w:val="Standard"/>
    <w:uiPriority w:val="99"/>
    <w:qFormat/>
    <w:pPr>
      <w:ind w:left="720"/>
      <w:contextualSpacing/>
    </w:pPr>
  </w:style>
  <w:style w:type="character" w:customStyle="1" w:styleId="anti-spider">
    <w:name w:val="anti-spider"/>
    <w:basedOn w:val="Absatz-Standardschriftart"/>
    <w:uiPriority w:val="99"/>
    <w:rPr>
      <w:rFonts w:cs="Times New Roman"/>
    </w:rPr>
  </w:style>
  <w:style w:type="paragraph" w:styleId="Beschriftung">
    <w:name w:val="caption"/>
    <w:basedOn w:val="Standard"/>
    <w:next w:val="Standard"/>
    <w:uiPriority w:val="99"/>
    <w:qFormat/>
    <w:pPr>
      <w:jc w:val="both"/>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fan.bach@bnetza.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mailto:Chauveau@anfr.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spinosa@anfr.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homas.weilacher@bnetza.de" TargetMode="External"/><Relationship Id="rId4" Type="http://schemas.openxmlformats.org/officeDocument/2006/relationships/webSettings" Target="webSettings.xml"/><Relationship Id="rId9" Type="http://schemas.openxmlformats.org/officeDocument/2006/relationships/hyperlink" Target="mailto:sup@nii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1936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LS from FM PT 48 to SE PT 44</vt:lpstr>
    </vt:vector>
  </TitlesOfParts>
  <Company>FM PT 48</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Michael Krämer</cp:lastModifiedBy>
  <cp:revision>2</cp:revision>
  <cp:lastPrinted>2010-11-08T10:24:00Z</cp:lastPrinted>
  <dcterms:created xsi:type="dcterms:W3CDTF">2012-04-12T12:17:00Z</dcterms:created>
  <dcterms:modified xsi:type="dcterms:W3CDTF">2012-04-12T12:17:00Z</dcterms:modified>
</cp:coreProperties>
</file>